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 w:ascii="BIZ UDPゴシック" w:hAnsi="BIZ UDPゴシック" w:eastAsia="BIZ UDPゴシック"/>
          <w:sz w:val="32"/>
        </w:rPr>
        <w:t>下記の場合は、アプリでの接種証明書が発行できません</w:t>
      </w: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・パスポートに旧姓・別姓・別名併記がある場合</w:t>
      </w: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・パスポートとマイナンバーカードの氏名表記が異なる場合</w:t>
      </w: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・マイナンバーの氏名欄に「番号〔佐藤〕花子」など括弧書きで旧姓記載</w:t>
      </w: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・券面右下の追記欄に「旧氏　佐藤」や「旧氏記載　番号〔佐藤〕花子」などと記載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48260</wp:posOffset>
                </wp:positionV>
                <wp:extent cx="5383530" cy="20707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383530" cy="2070735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5150485" cy="1989455"/>
                                  <wp:effectExtent l="0" t="0" r="0" b="0"/>
                                  <wp:docPr id="102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0485" cy="198945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3.8pt;mso-position-vertical-relative:text;mso-position-horizontal-relative:text;position:absolute;height:163.05000000000001pt;mso-wrap-distance-top:0pt;width:423.9pt;mso-wrap-distance-left:5.65pt;margin-left:-1.1399999999999999pt;z-index:3;" o:allowincell="t" o:allowoverlap="t" filled="f" stroked="f" strokecolor="#000000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5150485" cy="1989455"/>
                            <wp:effectExtent l="0" t="0" r="0" b="0"/>
                            <wp:docPr id="102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0485" cy="198945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149225</wp:posOffset>
                </wp:positionV>
                <wp:extent cx="600710" cy="2381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00710" cy="238125"/>
                        </a:xfrm>
                        <a:prstGeom prst="flowChartConnector"/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28" style="mso-wrap-distance-right:16pt;mso-wrap-distance-bottom:0pt;margin-top:11.75pt;mso-position-vertical-relative:text;mso-position-horizontal-relative:text;position:absolute;height:18.75pt;mso-wrap-distance-top:0pt;width:47.3pt;mso-wrap-distance-left:16pt;margin-left:27.35pt;z-index:4;" o:allowincell="t" o:allowoverlap="t" filled="f" stroked="t" strokecolor="#ff0000" strokeweight="1pt" o:spt="120" type="#_x0000_t12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85090</wp:posOffset>
                </wp:positionV>
                <wp:extent cx="1770380" cy="81788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770380" cy="817880"/>
                        </a:xfrm>
                        <a:prstGeom prst="flowChartConnector"/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29" style="mso-wrap-distance-right:16pt;mso-wrap-distance-bottom:0pt;margin-top:6.7pt;mso-position-vertical-relative:text;mso-position-horizontal-relative:text;position:absolute;height:64.400000000000006pt;mso-wrap-distance-top:0pt;width:139.4pt;mso-wrap-distance-left:16pt;margin-left:63pt;z-index:5;" o:allowincell="t" o:allowoverlap="t" filled="f" stroked="t" strokecolor="#ff0000" strokeweight="1pt" o:spt="120" type="#_x0000_t12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BIZ UDPゴシック" w:hAnsi="BIZ UDPゴシック" w:eastAsia="BIZ UDPゴシック"/>
        </w:rPr>
      </w:pP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以上に該当する方は、紙での申請になります。デジタル庁のウェブサイトでは「近日中に対応予定」としているが、現在はデジタルでの証明書は取得できません。</w:t>
      </w: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また、マインナンバーカードに対応した</w:t>
      </w:r>
      <w:r>
        <w:rPr>
          <w:rFonts w:hint="eastAsia" w:ascii="BIZ UDPゴシック" w:hAnsi="BIZ UDPゴシック" w:eastAsia="BIZ UDPゴシック"/>
        </w:rPr>
        <w:t>NFC TypeB</w:t>
      </w:r>
      <w:r>
        <w:rPr>
          <w:rFonts w:hint="eastAsia" w:ascii="BIZ UDPゴシック" w:hAnsi="BIZ UDPゴシック" w:eastAsia="BIZ UDPゴシック"/>
        </w:rPr>
        <w:t>　スマートフォンでない方もデジタルでの証明書は取得できません。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2</Words>
  <Characters>272</Characters>
  <Application>JUST Note</Application>
  <Lines>19</Lines>
  <Paragraphs>7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保健センター</dc:creator>
  <cp:lastModifiedBy>保健センター</cp:lastModifiedBy>
  <dcterms:created xsi:type="dcterms:W3CDTF">2021-12-21T05:38:00Z</dcterms:created>
  <dcterms:modified xsi:type="dcterms:W3CDTF">2021-12-21T05:38:00Z</dcterms:modified>
  <cp:revision>0</cp:revision>
</cp:coreProperties>
</file>